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66" w:rsidRPr="002E1945" w:rsidRDefault="002E1945" w:rsidP="002E19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945">
        <w:rPr>
          <w:rFonts w:ascii="Times New Roman" w:hAnsi="Times New Roman" w:cs="Times New Roman"/>
          <w:sz w:val="28"/>
          <w:szCs w:val="28"/>
        </w:rPr>
        <w:t>Лекция 12. Аналитический метод. Декомпозиция систем.</w:t>
      </w:r>
    </w:p>
    <w:p w:rsidR="002E1945" w:rsidRDefault="002E1945" w:rsidP="002E194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1945">
        <w:rPr>
          <w:rFonts w:ascii="Times New Roman" w:hAnsi="Times New Roman" w:cs="Times New Roman"/>
          <w:sz w:val="28"/>
          <w:szCs w:val="28"/>
        </w:rPr>
        <w:t xml:space="preserve">Вопросы. </w:t>
      </w:r>
      <w:r w:rsidRPr="002E1945">
        <w:rPr>
          <w:rFonts w:ascii="Times New Roman" w:hAnsi="Times New Roman" w:cs="Times New Roman"/>
          <w:i/>
          <w:sz w:val="28"/>
          <w:szCs w:val="28"/>
        </w:rPr>
        <w:t>Модели систем как основание декомпозиции. Содержательная модель как основание декомпозиции. Связь между формальной и содержательной моделями. Компромиссы между полнотой и простотой. Алгоритм декомпозиции.</w:t>
      </w:r>
    </w:p>
    <w:p w:rsidR="002E1945" w:rsidRPr="002E1945" w:rsidRDefault="002E1945" w:rsidP="002E194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Рассмотрим технические аспекты аналитического и синтетического методов исследования систем, т.е. </w:t>
      </w:r>
      <w:proofErr w:type="gramStart"/>
      <w:r w:rsidRPr="002E1945">
        <w:rPr>
          <w:sz w:val="28"/>
          <w:szCs w:val="28"/>
        </w:rPr>
        <w:t>рассмотрим</w:t>
      </w:r>
      <w:proofErr w:type="gramEnd"/>
      <w:r w:rsidRPr="002E1945">
        <w:rPr>
          <w:sz w:val="28"/>
          <w:szCs w:val="28"/>
        </w:rPr>
        <w:t xml:space="preserve"> как выполняются операции разделения целого на части и объединения частей в целое и почему они выполняются именно так. Иными словами мы обсудим, в какой степени анализ и синтез на сегодняшний день могут быть алгоритмизированы.</w:t>
      </w:r>
    </w:p>
    <w:p w:rsidR="002E1945" w:rsidRPr="002E1945" w:rsidRDefault="002E1945" w:rsidP="002E194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Успех и значение аналитического метода состоит не только и не столько в том, что сложное целое </w:t>
      </w:r>
      <w:proofErr w:type="gramStart"/>
      <w:r w:rsidRPr="002E1945">
        <w:rPr>
          <w:sz w:val="28"/>
          <w:szCs w:val="28"/>
        </w:rPr>
        <w:t>расчленяется</w:t>
      </w:r>
      <w:proofErr w:type="gramEnd"/>
      <w:r w:rsidRPr="002E1945">
        <w:rPr>
          <w:sz w:val="28"/>
          <w:szCs w:val="28"/>
        </w:rPr>
        <w:t xml:space="preserve"> в конечном счете на простые части, а в том, что будучи соединены надлежащим образом, эти части снова образуют единое целое. Этот момент агрегирования частей в целое является конечным этапом анализа, поскольку лишь только после этого мы сможем объяснить целое через его части — в виде структуры целого.</w:t>
      </w:r>
    </w:p>
    <w:p w:rsidR="002E1945" w:rsidRPr="002E1945" w:rsidRDefault="002E1945" w:rsidP="002E194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Аналитический метод имеет колоссальное значение в науке и на практике. Разложение функций в ряды, дифференциальное и интегральное исчисление, анализаторы спектров, всевозможные фильтры, значительная часть </w:t>
      </w:r>
      <w:proofErr w:type="spellStart"/>
      <w:r w:rsidRPr="002E1945">
        <w:rPr>
          <w:sz w:val="28"/>
          <w:szCs w:val="28"/>
        </w:rPr>
        <w:t>схемотехники</w:t>
      </w:r>
      <w:proofErr w:type="spellEnd"/>
      <w:r w:rsidRPr="002E1945">
        <w:rPr>
          <w:sz w:val="28"/>
          <w:szCs w:val="28"/>
        </w:rPr>
        <w:t>, конвейерная технология производства и многое другое — все это служит иллюстрацией эффективности анализа. Успехи аналитического метода привели к тому, что сами понятия «анализ» и «научное исследование» стали синонимами.</w:t>
      </w:r>
    </w:p>
    <w:p w:rsidR="002E1945" w:rsidRPr="002E1945" w:rsidRDefault="002E1945" w:rsidP="002E194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Аналитический метод приводит к достижению наивысших результатов, если целое удается расчленить на независимые друг от друга части, поскольку в этом случае их отдельное рассмотрение позволяет составить правильное представление об их вкладе в общий эффект. Однако случаи, когда система является «суммой» своих частей, не правило, а редчайшее исключение. Правилом же является то, что вклад данной части в общесистемный эффект зависит от вкладов других частей. Если заставить каждую часть функционировать наилучшим образом, то в целом эффект не будет наивысшим. Например, отобрав лучшие в мире двигатель, фары, колеса, карбюратор и т.д. мы не получим самого лучшего автомобиля. При анализе «неаддитивных» систем следует </w:t>
      </w:r>
      <w:r w:rsidRPr="002E1945">
        <w:rPr>
          <w:b/>
          <w:sz w:val="28"/>
          <w:szCs w:val="28"/>
        </w:rPr>
        <w:t>делать акцент на рассмотрение не отдельных частей, а на их взаимодействия</w:t>
      </w:r>
      <w:r w:rsidRPr="002E1945">
        <w:rPr>
          <w:sz w:val="28"/>
          <w:szCs w:val="28"/>
        </w:rPr>
        <w:t>. Это существенно более трудная задача.</w:t>
      </w:r>
    </w:p>
    <w:p w:rsidR="002E1945" w:rsidRPr="002E1945" w:rsidRDefault="002E1945" w:rsidP="002E194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В системном анализе постоянно подчеркивается значение целостности системы. Наряду с разделением целого на части наиболее употребительной операцией является и объединение частей в целое, т.е. синтез. Синтетическое мышление требует объяснить поведение системы.</w:t>
      </w:r>
    </w:p>
    <w:p w:rsidR="002E1945" w:rsidRDefault="002E1945" w:rsidP="002E194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Таким образом, не только аналитический метод невозможен без синтеза (на этом этапе части агрегируются в структуру), но и синтетический метод невозможен без анализа (необходима декомпозиция целого для объяснения функций частей). Анализ и синтез дополняют, но не заменяют друг друга. </w:t>
      </w:r>
    </w:p>
    <w:p w:rsidR="002E1945" w:rsidRPr="002E1945" w:rsidRDefault="002E1945" w:rsidP="002E194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2E1945" w:rsidRPr="002E1945" w:rsidRDefault="002E1945" w:rsidP="002E1945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Модели систем как основание декомпозиции</w:t>
      </w:r>
    </w:p>
    <w:p w:rsidR="002E1945" w:rsidRPr="002E1945" w:rsidRDefault="002E1945" w:rsidP="002E19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945">
        <w:rPr>
          <w:rFonts w:ascii="Times New Roman" w:hAnsi="Times New Roman" w:cs="Times New Roman"/>
          <w:sz w:val="28"/>
          <w:szCs w:val="28"/>
        </w:rPr>
        <w:t>Основной операцией анализа является разделение целого на части. Задача распадается на подзадачи, система — на подсистемы, цели — на подцели и т.д. При необходимости этот процесс повторяется, что приводит к иерархическим древовидным структурам. Обычно (если задача не носит чисто учебного характера) объект анализа сложен, слабо структурирован, плохо формализован, поэтому операцию декомпозиции выполняет эксперт. Если поручить анализ одного и того же объекта разным экспертам, то полученные древовидные списки будут различаться. Качество построенных экспертами деревьев зависит как от их компетентности, так и от применяемой методики декомпозиции.</w:t>
      </w:r>
    </w:p>
    <w:p w:rsidR="002E1945" w:rsidRPr="002E1945" w:rsidRDefault="002E1945" w:rsidP="002E194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При разделении целого на части появляются затруднения, когда требуется доказательство полноты и </w:t>
      </w:r>
      <w:proofErr w:type="spellStart"/>
      <w:r w:rsidRPr="002E1945">
        <w:rPr>
          <w:sz w:val="28"/>
          <w:szCs w:val="28"/>
        </w:rPr>
        <w:t>безизбыточности</w:t>
      </w:r>
      <w:proofErr w:type="spellEnd"/>
      <w:r w:rsidRPr="002E1945">
        <w:rPr>
          <w:sz w:val="28"/>
          <w:szCs w:val="28"/>
        </w:rPr>
        <w:t xml:space="preserve"> предлагаемого набора частей. Стремясь перейти от эвристического, интуитивного подхода к более осознанному, алгоритмическому выполнению декомпозиции, мы должны объяснить, почему именно так, а не иначе, именно на такое, а не на большее или меньшее количество частей мы разделяем целое. Объяснение состоит в том, что </w:t>
      </w:r>
      <w:r w:rsidRPr="00957FEC">
        <w:rPr>
          <w:b/>
          <w:sz w:val="28"/>
          <w:szCs w:val="28"/>
        </w:rPr>
        <w:t>основанием всякой декомпозиции является модель рассматриваемой системы</w:t>
      </w:r>
      <w:r w:rsidRPr="002E1945">
        <w:rPr>
          <w:sz w:val="28"/>
          <w:szCs w:val="28"/>
        </w:rPr>
        <w:t>.</w:t>
      </w:r>
    </w:p>
    <w:p w:rsidR="002E1945" w:rsidRPr="002E1945" w:rsidRDefault="002E1945" w:rsidP="002E1945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Содержательная модель как основание декомпозиции</w:t>
      </w:r>
    </w:p>
    <w:p w:rsidR="002E1945" w:rsidRPr="002E1945" w:rsidRDefault="002E1945" w:rsidP="002E194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Остановимся на этом важном соображении подробнее. Операция декомпозиции представляется теперь как сопоставление объекта анализа с некоторой моделью, как выделение в нем того, что соответствует элементам взятой модели. Поэтому на вопрос, </w:t>
      </w:r>
      <w:r w:rsidRPr="00957FEC">
        <w:rPr>
          <w:b/>
          <w:sz w:val="28"/>
          <w:szCs w:val="28"/>
        </w:rPr>
        <w:t>сколько частей должно получиться в результате декомпозиции, можно дать следующий ответ: столько, сколько элементов содержит модель, взятая в качестве основания</w:t>
      </w:r>
      <w:r w:rsidRPr="002E1945">
        <w:rPr>
          <w:sz w:val="28"/>
          <w:szCs w:val="28"/>
        </w:rPr>
        <w:t>. Вопрос о полноте декомпозиции — это вопрос о завершенности модели.</w:t>
      </w:r>
    </w:p>
    <w:p w:rsidR="002E1945" w:rsidRPr="002E1945" w:rsidRDefault="002E1945" w:rsidP="002E1945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Пример 1.</w:t>
      </w:r>
    </w:p>
    <w:p w:rsidR="002E1945" w:rsidRPr="002E1945" w:rsidRDefault="002E1945" w:rsidP="002E194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В начале 70-х годов проводились работы по системному анализу целей развития морского флота. Первый уровень дерева целей выглядел в виде схемы.</w:t>
      </w:r>
    </w:p>
    <w:p w:rsidR="002E1945" w:rsidRPr="002E1945" w:rsidRDefault="002E1945" w:rsidP="002E194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noProof/>
          <w:sz w:val="28"/>
          <w:szCs w:val="28"/>
        </w:rPr>
        <w:drawing>
          <wp:inline distT="0" distB="0" distL="0" distR="0">
            <wp:extent cx="5782310" cy="2082384"/>
            <wp:effectExtent l="19050" t="0" r="8890" b="0"/>
            <wp:docPr id="1" name="Рисунок 1" descr="Первый уровень дерева целей из пример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рвый уровень дерева целей из примера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465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945" w:rsidRPr="002E1945" w:rsidRDefault="002E1945" w:rsidP="002E194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Рис.</w:t>
      </w:r>
      <w:r w:rsidR="00957FEC" w:rsidRPr="002E1945">
        <w:rPr>
          <w:sz w:val="28"/>
          <w:szCs w:val="28"/>
        </w:rPr>
        <w:t xml:space="preserve"> </w:t>
      </w:r>
      <w:r w:rsidRPr="002E1945">
        <w:rPr>
          <w:sz w:val="28"/>
          <w:szCs w:val="28"/>
        </w:rPr>
        <w:t>1 — Первый уровень дерева целей из примера 1</w:t>
      </w:r>
    </w:p>
    <w:p w:rsidR="002E1945" w:rsidRPr="002E1945" w:rsidRDefault="002E1945" w:rsidP="002E194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Декомпозиция проведена по модели входов организационной системы</w:t>
      </w:r>
    </w:p>
    <w:p w:rsidR="002E1945" w:rsidRPr="002E1945" w:rsidRDefault="002E1945" w:rsidP="002E194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noProof/>
          <w:sz w:val="28"/>
          <w:szCs w:val="28"/>
        </w:rPr>
        <w:lastRenderedPageBreak/>
        <w:drawing>
          <wp:inline distT="0" distB="0" distL="0" distR="0">
            <wp:extent cx="4480560" cy="2265680"/>
            <wp:effectExtent l="19050" t="0" r="0" b="0"/>
            <wp:docPr id="2" name="Рисунок 2" descr="Схема входов организационной систе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входов организационной систем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226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945" w:rsidRPr="002E1945" w:rsidRDefault="00957FEC" w:rsidP="002E194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Рис.</w:t>
      </w:r>
      <w:r w:rsidR="002E1945" w:rsidRPr="002E1945">
        <w:rPr>
          <w:sz w:val="28"/>
          <w:szCs w:val="28"/>
        </w:rPr>
        <w:t>2 — Схема входов организационной системы</w:t>
      </w:r>
    </w:p>
    <w:p w:rsidR="002E1945" w:rsidRPr="002E1945" w:rsidRDefault="002E1945" w:rsidP="002E194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Модель организационной системы включает входы:</w:t>
      </w:r>
    </w:p>
    <w:p w:rsidR="002E1945" w:rsidRPr="002E1945" w:rsidRDefault="002E1945" w:rsidP="002E194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945">
        <w:rPr>
          <w:rFonts w:ascii="Times New Roman" w:hAnsi="Times New Roman" w:cs="Times New Roman"/>
          <w:sz w:val="28"/>
          <w:szCs w:val="28"/>
        </w:rPr>
        <w:t>от «нижестоящих» систем (здесь клиентуры — подцель 1);</w:t>
      </w:r>
    </w:p>
    <w:p w:rsidR="002E1945" w:rsidRPr="002E1945" w:rsidRDefault="002E1945" w:rsidP="002E194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945">
        <w:rPr>
          <w:rFonts w:ascii="Times New Roman" w:hAnsi="Times New Roman" w:cs="Times New Roman"/>
          <w:sz w:val="28"/>
          <w:szCs w:val="28"/>
        </w:rPr>
        <w:t>от «вышестоящих» систем (народного хозяйства в целом — подцель 2);</w:t>
      </w:r>
    </w:p>
    <w:p w:rsidR="002E1945" w:rsidRPr="002E1945" w:rsidRDefault="002E1945" w:rsidP="002E194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945">
        <w:rPr>
          <w:rFonts w:ascii="Times New Roman" w:hAnsi="Times New Roman" w:cs="Times New Roman"/>
          <w:sz w:val="28"/>
          <w:szCs w:val="28"/>
        </w:rPr>
        <w:t>от «существенной среды» (в данном случае от флотов капиталистических государств — подцель 3, и социалистических государств — подцель 4).</w:t>
      </w:r>
    </w:p>
    <w:p w:rsidR="002E1945" w:rsidRPr="002E1945" w:rsidRDefault="002E1945" w:rsidP="002E194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Очевидно, что такая декомпозиция неполна, поскольку отсутствует подцель, связанная с собственными интересами морского флота. Это, по-видимому, не столько ошибка экспертов-аналитиков, сколько стиль тогдашнего руководства. Через 15 лет пришлось говорить о том, что «остаточный» подход создал серьезные проблемы в работе флота в целом.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Итак, объект декомпозиции должен сопоставляться с каждым элементом модели-основания. Однако и сама модель-основание может с разной степенью детализации отображать исследуемый объект. Например, в системном анализе часто приходится использовать модель типа «жизненный цикл», позволяющую декомпозировать анализируемый период времени на последовательные этапы от его возникновения до окончания. Разбиение на этапы дает представление о последовательности действий, начиная с обнаружения проблемы и кончая ее ликвидацией. При этом такое разбиение может быть различно.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Установив, что декомпозиция осуществляется с помощью некоторой модели, сквозь которую мы как бы рассматриваем расчленяемое целое, далее следует ответить на естественно возникающие вопросы:</w:t>
      </w:r>
    </w:p>
    <w:p w:rsidR="002E1945" w:rsidRPr="002E1945" w:rsidRDefault="002E1945" w:rsidP="00957FE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945">
        <w:rPr>
          <w:rFonts w:ascii="Times New Roman" w:hAnsi="Times New Roman" w:cs="Times New Roman"/>
          <w:sz w:val="28"/>
          <w:szCs w:val="28"/>
        </w:rPr>
        <w:t>модели</w:t>
      </w:r>
      <w:proofErr w:type="gramEnd"/>
      <w:r w:rsidRPr="002E1945">
        <w:rPr>
          <w:rFonts w:ascii="Times New Roman" w:hAnsi="Times New Roman" w:cs="Times New Roman"/>
          <w:sz w:val="28"/>
          <w:szCs w:val="28"/>
        </w:rPr>
        <w:t xml:space="preserve"> какой системы следует брать в качестве основания декомпозиции?</w:t>
      </w:r>
    </w:p>
    <w:p w:rsidR="002E1945" w:rsidRPr="002E1945" w:rsidRDefault="002E1945" w:rsidP="00957FE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1945">
        <w:rPr>
          <w:rFonts w:ascii="Times New Roman" w:hAnsi="Times New Roman" w:cs="Times New Roman"/>
          <w:sz w:val="28"/>
          <w:szCs w:val="28"/>
        </w:rPr>
        <w:t>какие именно модели следует брать?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Выше уже упоминалось, что основанием декомпозиции служит модель «рассматриваемой системы», но какую именно систему следует под этим понимать? Всякий анализ проводится для чего-то, и именно эта цель анализа и определяет, какую систему следует рассматривать. Система, с которой связан объект анализа, и система, по моделям которой проводится декомпозиция, не обязательно совпадают. Отношение между ними может быть любым: одна из них может быть подсистемой или надсистемой для другой, они могут быть и разными, но как-то связанными системами. 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Перейдем теперь к рассмотрению вопроса о том, какие модели брать за основание декомпозиции. Напомним, что при всем практически необозримом многообразии моделей формальных типов моделей немного: это модели «черного ящика», состава, структуры, конструкции (структурной схемы) — каждая в статическом или динамическом варианте.</w:t>
      </w:r>
    </w:p>
    <w:p w:rsidR="002E1945" w:rsidRPr="002E1945" w:rsidRDefault="002E1945" w:rsidP="00957FEC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Связь между формальной и содержательной моделями</w:t>
      </w:r>
    </w:p>
    <w:p w:rsidR="002E1945" w:rsidRPr="002E1945" w:rsidRDefault="002E1945" w:rsidP="00957FE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Основанием для декомпозиции может служить только конкретная, содержательная модель рассматриваемой системы. Выбор формальной модели лишь подсказывает, какого типа должна быть модель-основание. Формальную модель следует наполнить содержанием, чтобы она стала основанием для декомпозиции. Полнота декомпозиции обеспечивается полнотой модели-основания, а это означает, </w:t>
      </w:r>
      <w:proofErr w:type="gramStart"/>
      <w:r w:rsidRPr="002E1945">
        <w:rPr>
          <w:sz w:val="28"/>
          <w:szCs w:val="28"/>
        </w:rPr>
        <w:t>что</w:t>
      </w:r>
      <w:proofErr w:type="gramEnd"/>
      <w:r w:rsidRPr="002E1945">
        <w:rPr>
          <w:sz w:val="28"/>
          <w:szCs w:val="28"/>
        </w:rPr>
        <w:t xml:space="preserve"> прежде всего следует позаботиться о полноте формальной модели. Именно благодаря формальности, абстрактности какой модели часто удается добиться ее абсолютной полноты.</w:t>
      </w:r>
    </w:p>
    <w:p w:rsidR="002E1945" w:rsidRPr="002E1945" w:rsidRDefault="002E1945" w:rsidP="00957FEC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Пример 2.</w:t>
      </w:r>
    </w:p>
    <w:p w:rsidR="002E1945" w:rsidRPr="002E1945" w:rsidRDefault="002E1945" w:rsidP="00957FE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Схема входов организационной системы на рис.2. является полной: к ней нечего добавить (перечислено все, что воздействует на систему), а изъятие любого элемента лишит ее полноты.</w:t>
      </w:r>
    </w:p>
    <w:p w:rsidR="002E1945" w:rsidRPr="002E1945" w:rsidRDefault="002E1945" w:rsidP="00957FEC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Пример 3.</w:t>
      </w:r>
    </w:p>
    <w:p w:rsidR="002E1945" w:rsidRPr="002E1945" w:rsidRDefault="002E1945" w:rsidP="00957FE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Формальный перечень типов ресурсов состоит из энергии, материи, времени, информации (для социальных систем добавляются кадры и финансы). При анализе ресурсного обеспечения этот перечень не дает пропустить что-то важное.</w:t>
      </w:r>
    </w:p>
    <w:p w:rsidR="002E1945" w:rsidRPr="002E1945" w:rsidRDefault="002E1945" w:rsidP="00957FEC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Пример 4.</w:t>
      </w:r>
    </w:p>
    <w:p w:rsidR="002E1945" w:rsidRPr="002E1945" w:rsidRDefault="002E1945" w:rsidP="00957FE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К числу полных формальных моделей относится схема любой деятельности человека, которая в «Капитале» применялась для анализа процесса труда (см</w:t>
      </w:r>
      <w:proofErr w:type="gramStart"/>
      <w:r w:rsidRPr="002E1945">
        <w:rPr>
          <w:sz w:val="28"/>
          <w:szCs w:val="28"/>
        </w:rPr>
        <w:t>.р</w:t>
      </w:r>
      <w:proofErr w:type="gramEnd"/>
      <w:r w:rsidRPr="002E1945">
        <w:rPr>
          <w:sz w:val="28"/>
          <w:szCs w:val="28"/>
        </w:rPr>
        <w:t>ис.3). В схеме выделены: субъект деятельности; объект, на который направлена деятельность; средства, используемые в процессе деятельности; окружающая среда; все возможные связи между ними.</w:t>
      </w:r>
    </w:p>
    <w:p w:rsidR="002E1945" w:rsidRPr="002E1945" w:rsidRDefault="002E1945" w:rsidP="002E1945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2E1945">
        <w:rPr>
          <w:noProof/>
          <w:sz w:val="28"/>
          <w:szCs w:val="28"/>
        </w:rPr>
        <w:drawing>
          <wp:inline distT="0" distB="0" distL="0" distR="0">
            <wp:extent cx="3474720" cy="1818640"/>
            <wp:effectExtent l="19050" t="0" r="0" b="0"/>
            <wp:docPr id="3" name="Рисунок 3" descr="Общая схема деятель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бщая схема деятельности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81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945" w:rsidRPr="002E1945" w:rsidRDefault="00957FEC" w:rsidP="002E1945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Рис.</w:t>
      </w:r>
      <w:r w:rsidR="002E1945" w:rsidRPr="002E1945">
        <w:rPr>
          <w:sz w:val="28"/>
          <w:szCs w:val="28"/>
        </w:rPr>
        <w:t>3 — Общая схема деятельности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Итак, полнота формальных моделей должна быть предметом особого внимания. Поэтому одна из важных задач информационного обеспечения системного анализа и состоит в накоплении наборов полных формальных моделей. В искусственном интеллекте такие модели носят название «фреймов».</w:t>
      </w:r>
    </w:p>
    <w:p w:rsidR="002E1945" w:rsidRPr="002E1945" w:rsidRDefault="002E1945" w:rsidP="00957FEC">
      <w:pPr>
        <w:pStyle w:val="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Проблема полноты моделей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Полнота формальной модели является необходимым, но не достаточным условием для полноты декомпозиции. В конечном </w:t>
      </w:r>
      <w:proofErr w:type="gramStart"/>
      <w:r w:rsidRPr="002E1945">
        <w:rPr>
          <w:sz w:val="28"/>
          <w:szCs w:val="28"/>
        </w:rPr>
        <w:t>счете</w:t>
      </w:r>
      <w:proofErr w:type="gramEnd"/>
      <w:r w:rsidRPr="002E1945">
        <w:rPr>
          <w:sz w:val="28"/>
          <w:szCs w:val="28"/>
        </w:rPr>
        <w:t xml:space="preserve"> все зависит от полноты содержательной модели, которая строится по образу формальной модели, но не тождественна ей. Фрейм лишь привлекает внимание эксперта к необходимости рассмотреть, что именно в реальной системе соответствует каждому из составляющих фрейм элементов, а также решить, какие из этих элементов должны быть включены в содержательную модель. Это очень ответственный момент (ведь то, что не попадет в модель-основание, не появится в дальнейшем анализе).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Для иллюстрации </w:t>
      </w:r>
      <w:proofErr w:type="gramStart"/>
      <w:r w:rsidRPr="002E1945">
        <w:rPr>
          <w:sz w:val="28"/>
          <w:szCs w:val="28"/>
        </w:rPr>
        <w:t>вернемся</w:t>
      </w:r>
      <w:proofErr w:type="gramEnd"/>
      <w:r w:rsidRPr="002E1945">
        <w:rPr>
          <w:sz w:val="28"/>
          <w:szCs w:val="28"/>
        </w:rPr>
        <w:t xml:space="preserve"> к примеру 1. Фреймовая модель входов </w:t>
      </w:r>
      <w:proofErr w:type="spellStart"/>
      <w:r w:rsidRPr="002E1945">
        <w:rPr>
          <w:sz w:val="28"/>
          <w:szCs w:val="28"/>
        </w:rPr>
        <w:t>оргсистемы</w:t>
      </w:r>
      <w:proofErr w:type="spellEnd"/>
      <w:r w:rsidRPr="002E1945">
        <w:rPr>
          <w:sz w:val="28"/>
          <w:szCs w:val="28"/>
        </w:rPr>
        <w:t xml:space="preserve"> (см</w:t>
      </w:r>
      <w:proofErr w:type="gramStart"/>
      <w:r w:rsidRPr="002E1945">
        <w:rPr>
          <w:sz w:val="28"/>
          <w:szCs w:val="28"/>
        </w:rPr>
        <w:t>.р</w:t>
      </w:r>
      <w:proofErr w:type="gramEnd"/>
      <w:r w:rsidRPr="002E1945">
        <w:rPr>
          <w:sz w:val="28"/>
          <w:szCs w:val="28"/>
        </w:rPr>
        <w:t>ис.2) рекомендует, в частности, определить конкретно, что именно понимается под «существенной средой», т.е. взаимодействие с какими реальными системами не своего ведомства должно войти в основание. Судя по результату анализа, его авторы учитывали только взаимодействие морского флота с флотами других государств. Для каких-то целей этого достаточно. Но ясно также, что в других случаях может потребоваться учет взаимодействия с сухопутным транспортом, речным и воздушным флотами. Если возникнет вопрос о ресурсах, то потребуется учет связей с ведомствами, производящими топливо и энергию, продукты питания, всевозможную технику, услуги и т.д. Таким образом</w:t>
      </w:r>
      <w:r w:rsidR="00957FEC">
        <w:rPr>
          <w:sz w:val="28"/>
          <w:szCs w:val="28"/>
        </w:rPr>
        <w:t>,</w:t>
      </w:r>
      <w:r w:rsidRPr="002E1945">
        <w:rPr>
          <w:sz w:val="28"/>
          <w:szCs w:val="28"/>
        </w:rPr>
        <w:t xml:space="preserve"> вопрос достаточной детализации содержательных моделей в отличие </w:t>
      </w:r>
      <w:proofErr w:type="gramStart"/>
      <w:r w:rsidRPr="002E1945">
        <w:rPr>
          <w:sz w:val="28"/>
          <w:szCs w:val="28"/>
        </w:rPr>
        <w:t>от</w:t>
      </w:r>
      <w:proofErr w:type="gramEnd"/>
      <w:r w:rsidRPr="002E1945">
        <w:rPr>
          <w:sz w:val="28"/>
          <w:szCs w:val="28"/>
        </w:rPr>
        <w:t xml:space="preserve"> фреймовых всегда остается открытым. Чтобы сохранить полноту и возможность расширения содержательной модели, можно рекомендовать осуществлять логическое замыкание перечня ее элементов компонентой «все остальное». Ее присутствие будет постоянно напоминать эксперту, что, возможно, он не учел что-то важное.</w:t>
      </w:r>
    </w:p>
    <w:p w:rsidR="002E1945" w:rsidRPr="002E1945" w:rsidRDefault="002E1945" w:rsidP="00957FEC">
      <w:pPr>
        <w:pStyle w:val="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Алгоритмизация процесса декомпозиции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Рассмотрим рекомендации по осуществлению всего многоступенчатого процесса декомпозиции.</w:t>
      </w:r>
    </w:p>
    <w:p w:rsidR="002E1945" w:rsidRPr="002E1945" w:rsidRDefault="002E1945" w:rsidP="00957FEC">
      <w:pPr>
        <w:pStyle w:val="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Компромиссы между полнотой и простотой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Начнем с обсуждения требований к древовидной структуре, которая получится как итог работы по всему алгоритму. С количественной стороны эти требования сводятся к двум противоречивым принципам: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полноты (проблема должна быть рассмотрена максимально всесторонне и подробно);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простоты (все дерево должно быть максимально компактным — «вширь» и «вглубь»).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Эти принципы относятся к количественным характеристикам (размерам) дерева. Компромиссы между ними вытекают из качественного требования — главной цели: свести сложный объект анализа к конечной совокупности простых подобъектов либо (если это не удается) выяснить конкретную причину неустранимой сложности.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Принцип простоты требует сокращать размеры дерева. Мы уже знаем, что размеры «вширь» определяются числом элементов модели, служащей основанием декомпозиции. Поэтому принцип простоты вынуждает брать как можно более компактные модели-основания. Наоборот, принцип простоты заставляет брать как можно более развитые, подробные модели. Компромисс достигается с помощью понятия «существенности»: в модель-основание включаются только компоненты, существенные по отношению к цели анализа. Как видим, это понятие неформальное, поэтому решение вопроса о том, что же является в данной модели существенным, а что — нет, возлагается на эксперта.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Перейдем теперь к вопросу о размерах дерева «вглубь», т.е. о числе «этажей» дерева, числе уровней декомпозиции. </w:t>
      </w:r>
      <w:proofErr w:type="gramStart"/>
      <w:r w:rsidRPr="002E1945">
        <w:rPr>
          <w:sz w:val="28"/>
          <w:szCs w:val="28"/>
        </w:rPr>
        <w:t>Принцип полноты требует, чтобы в случае необходимости можно было продолжать декомпозицию до тех пор, когда она приведет к получению результата (подцели, подфункции, подзадачи и т.д.), не требующего дальнейшего разложения, т.е. результата простого, понятного, реализуемого, называемого элементарным.</w:t>
      </w:r>
      <w:proofErr w:type="gramEnd"/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Неэлементарный фрагмент подлежит дальнейшей декомпозиции по другой модели-основанию. На этом этапе рекомендуется введение новых элементов в модель-основание и продолжении декомпозиции по ним. Поскольку новые существенные элементы могут быть получены только расщеплением уже </w:t>
      </w:r>
      <w:proofErr w:type="gramStart"/>
      <w:r w:rsidRPr="002E1945">
        <w:rPr>
          <w:sz w:val="28"/>
          <w:szCs w:val="28"/>
        </w:rPr>
        <w:t>имеющихся</w:t>
      </w:r>
      <w:proofErr w:type="gramEnd"/>
      <w:r w:rsidRPr="002E1945">
        <w:rPr>
          <w:sz w:val="28"/>
          <w:szCs w:val="28"/>
        </w:rPr>
        <w:t>, в алгоритме декомпозиции должна быть заложена и возможность возврата к использованным ранее основаниям. Указанная итеративность алгоритма декомпозиции придает ему вариабельность, возможность пользоваться моделями различной детальности на разных ветвях, углублять детализацию.</w:t>
      </w:r>
    </w:p>
    <w:p w:rsidR="002E1945" w:rsidRPr="002E1945" w:rsidRDefault="002E1945" w:rsidP="00957FEC">
      <w:pPr>
        <w:pStyle w:val="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Типы сложности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Несмотря на возможности, предоставляемые сменой моделей и итеративностью, может наступить момент, когда эксперт признает, что его компетентности недостаточно для дальнейшего анализа данного фрагмента и что следует обратиться к эксперту другой квалификации. По существу, сложность такого типа есть сложность из-за </w:t>
      </w:r>
      <w:proofErr w:type="spellStart"/>
      <w:r w:rsidRPr="002E1945">
        <w:rPr>
          <w:sz w:val="28"/>
          <w:szCs w:val="28"/>
        </w:rPr>
        <w:t>неинформированности</w:t>
      </w:r>
      <w:proofErr w:type="spellEnd"/>
      <w:r w:rsidRPr="002E1945">
        <w:rPr>
          <w:sz w:val="28"/>
          <w:szCs w:val="28"/>
        </w:rPr>
        <w:t>, которую можно преодолеть с помощью информации, рассредоточенной по разным источникам и экспертам. Не имеет значение, один или несколько экспертов довели анализ до конца, а важно, что это оказалось возможным, и, следовательно, первоначальная сложность была вызвана не столько недостатком информации, сколько большой размерностью проблемы.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Невозможность доведения декомпозиции до получения элементарного фрагмента, которая обнаруживается в виде «затягивания» анализа по данной ветви, является не отрицательным, а также положительным результатом. При этом сложность не ликвидируется полностью, но ее сфера сужается, обнаруживается и локализуется истинная причина этой сложности. Знание о том, что именно мы не знаем, быть </w:t>
      </w:r>
      <w:proofErr w:type="gramStart"/>
      <w:r w:rsidRPr="002E1945">
        <w:rPr>
          <w:sz w:val="28"/>
          <w:szCs w:val="28"/>
        </w:rPr>
        <w:t>может</w:t>
      </w:r>
      <w:proofErr w:type="gramEnd"/>
      <w:r w:rsidRPr="002E1945">
        <w:rPr>
          <w:sz w:val="28"/>
          <w:szCs w:val="28"/>
        </w:rPr>
        <w:t xml:space="preserve"> не менее важно, чем само позитивное знание.</w:t>
      </w:r>
    </w:p>
    <w:p w:rsidR="000A410C" w:rsidRDefault="000A410C" w:rsidP="00957FEC">
      <w:pPr>
        <w:pStyle w:val="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E1945" w:rsidRPr="002E1945" w:rsidRDefault="002E1945" w:rsidP="00957FEC">
      <w:pPr>
        <w:pStyle w:val="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Алгоритм декомпозиции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Алгоритм декомпозиции представлен на рисунке 4 в виде блок-схемы. К тому, что было уже сказано об изображаемых блоками операциях алгоритма, добавим следующее.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Блок 1. Объектом анализа может быть что угодно — любое высказывание, раскрытие смысла которого требует его структурирования. На определение объекта анализа затрачиваются весьма значительные усилия. Формулировка глобальной цели системы, как правило, требует неоднократного уточнения и согласования. От правильного выбора объекта анализа зависит, действительно ли мы будем делать то, что нужно.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Блок 2. Этот блок определяет, зачем нужно то, что мы будем делать. В качестве целевой системы выступает система, в интересах которой осуществляется весь анализ. Более формального определения целевой системы дать нельзя — многое зависит от конкретных условий.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Блок 3. Этот блок содержит набор фреймовых моделей и рекомендуемые правила их перебора либо обращение к эксперту с просьбой самому определить очередной фрейм.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Блок 4. Содержательная модель, по которой будет произведена декомпозиция, строится экспертом на основании изучения целевой системы. Хорошим подспорьем ему могут служить различные классификаторы, построенные в различных областях знаний.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Блоки 5-10 были достаточно пояснены ранее.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 xml:space="preserve">Блок 11. Окончательный результат анализа оформляется в виде дерева, конечными фрагментами ветвей которого являются либо элементарные фрагменты, либо фрагменты, признанные экспертом сложными, но не поддающиеся дальнейшему разложению. Причины такой сложности могут состоять либо в ограниченности знаний данного эксперта (сложность из-за </w:t>
      </w:r>
      <w:proofErr w:type="spellStart"/>
      <w:r w:rsidRPr="002E1945">
        <w:rPr>
          <w:sz w:val="28"/>
          <w:szCs w:val="28"/>
        </w:rPr>
        <w:t>неинформированности</w:t>
      </w:r>
      <w:proofErr w:type="spellEnd"/>
      <w:r w:rsidRPr="002E1945">
        <w:rPr>
          <w:sz w:val="28"/>
          <w:szCs w:val="28"/>
        </w:rPr>
        <w:t>), либо в том, что нужные знания существуют, но еще не объединены в объясняющие модели (сложность из-за непонимания), либо в принципиальном отсутствии нужных знаний (сложность из-за незнания).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Блок-схема, изображенная на рис.4, является, конечно, слишком укрупненной. Она предназначена для разъяснения лишь основных идей алгоритма декомпозиции.</w:t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Основание для декомпозиции является содержательная модель системы. Это означает, что в разделяемом целом мы должны найти часть, соответствующую каждому из элементов модели-основания. Ориентиром для построения содержательной модели (т.е. основания декомпозиции) служат формальные модели известных типов. Предметом особого внимания является полнота модели.</w:t>
      </w:r>
    </w:p>
    <w:p w:rsid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Один из способов упрощения сложного — метод декомпозиции — состоит в разложении сложного целого на все более мелкие и простые части. Компромиссы между требованием не упустить важного (принцип полноты) и требованием не включать в модель лишнего (принцип простоты) достигаются с помощью понятий существенного (необходимого), элементарного (достаточного), а также постепенной нарастающей детализации базовых моделей и итеративности алгоритма декомпозиции.</w:t>
      </w:r>
    </w:p>
    <w:p w:rsidR="000A410C" w:rsidRDefault="000A410C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A410C" w:rsidRPr="002E1945" w:rsidRDefault="000A410C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E1945" w:rsidRPr="002E1945" w:rsidRDefault="002E1945" w:rsidP="000A410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2E1945">
        <w:rPr>
          <w:noProof/>
          <w:sz w:val="28"/>
          <w:szCs w:val="28"/>
        </w:rPr>
        <w:drawing>
          <wp:inline distT="0" distB="0" distL="0" distR="0">
            <wp:extent cx="5894070" cy="7331054"/>
            <wp:effectExtent l="19050" t="0" r="0" b="0"/>
            <wp:docPr id="4" name="Рисунок 4" descr="Укрупненная схема алгоритма декомпози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крупненная схема алгоритма декомпозиции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4070" cy="7331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945" w:rsidRPr="002E1945" w:rsidRDefault="002E1945" w:rsidP="00957FE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945">
        <w:rPr>
          <w:sz w:val="28"/>
          <w:szCs w:val="28"/>
        </w:rPr>
        <w:t>Рис.4 — Укрупненная схема алгоритма декомпозиции</w:t>
      </w:r>
    </w:p>
    <w:tbl>
      <w:tblPr>
        <w:tblW w:w="4500" w:type="pct"/>
        <w:tblCellSpacing w:w="0" w:type="dxa"/>
        <w:tblInd w:w="720" w:type="dxa"/>
        <w:tblCellMar>
          <w:top w:w="300" w:type="dxa"/>
          <w:left w:w="300" w:type="dxa"/>
          <w:bottom w:w="300" w:type="dxa"/>
          <w:right w:w="300" w:type="dxa"/>
        </w:tblCellMar>
        <w:tblLook w:val="04A0"/>
      </w:tblPr>
      <w:tblGrid>
        <w:gridCol w:w="8960"/>
      </w:tblGrid>
      <w:tr w:rsidR="002E1945" w:rsidRPr="002E1945" w:rsidTr="002E1945">
        <w:trPr>
          <w:tblCellSpacing w:w="0" w:type="dxa"/>
        </w:trPr>
        <w:tc>
          <w:tcPr>
            <w:tcW w:w="5000" w:type="pct"/>
            <w:vAlign w:val="center"/>
            <w:hideMark/>
          </w:tcPr>
          <w:p w:rsidR="002E1945" w:rsidRPr="002E1945" w:rsidRDefault="002E1945" w:rsidP="00957F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1945" w:rsidRPr="00652D76" w:rsidRDefault="002E1945" w:rsidP="00652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E1945" w:rsidRPr="00652D76" w:rsidSect="007A41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F13" w:rsidRDefault="009E6F13" w:rsidP="000A410C">
      <w:pPr>
        <w:spacing w:after="0" w:line="240" w:lineRule="auto"/>
      </w:pPr>
      <w:r>
        <w:separator/>
      </w:r>
    </w:p>
  </w:endnote>
  <w:endnote w:type="continuationSeparator" w:id="0">
    <w:p w:rsidR="009E6F13" w:rsidRDefault="009E6F13" w:rsidP="000A4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10C" w:rsidRDefault="000A410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915961"/>
      <w:docPartObj>
        <w:docPartGallery w:val="Page Numbers (Bottom of Page)"/>
        <w:docPartUnique/>
      </w:docPartObj>
    </w:sdtPr>
    <w:sdtContent>
      <w:p w:rsidR="000A410C" w:rsidRDefault="00F503B7">
        <w:pPr>
          <w:pStyle w:val="a9"/>
          <w:jc w:val="right"/>
        </w:pPr>
        <w:fldSimple w:instr=" PAGE   \* MERGEFORMAT ">
          <w:r w:rsidR="0011627C">
            <w:rPr>
              <w:noProof/>
            </w:rPr>
            <w:t>9</w:t>
          </w:r>
        </w:fldSimple>
      </w:p>
    </w:sdtContent>
  </w:sdt>
  <w:p w:rsidR="000A410C" w:rsidRDefault="000A410C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10C" w:rsidRDefault="000A410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F13" w:rsidRDefault="009E6F13" w:rsidP="000A410C">
      <w:pPr>
        <w:spacing w:after="0" w:line="240" w:lineRule="auto"/>
      </w:pPr>
      <w:r>
        <w:separator/>
      </w:r>
    </w:p>
  </w:footnote>
  <w:footnote w:type="continuationSeparator" w:id="0">
    <w:p w:rsidR="009E6F13" w:rsidRDefault="009E6F13" w:rsidP="000A4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10C" w:rsidRDefault="000A410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10C" w:rsidRDefault="000A410C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10C" w:rsidRDefault="000A410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97BC8"/>
    <w:multiLevelType w:val="multilevel"/>
    <w:tmpl w:val="E57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E32FFB"/>
    <w:multiLevelType w:val="multilevel"/>
    <w:tmpl w:val="F33E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945"/>
    <w:rsid w:val="000A410C"/>
    <w:rsid w:val="0011627C"/>
    <w:rsid w:val="002E1945"/>
    <w:rsid w:val="00652D76"/>
    <w:rsid w:val="007A4166"/>
    <w:rsid w:val="00957FEC"/>
    <w:rsid w:val="00996CC6"/>
    <w:rsid w:val="009E6F13"/>
    <w:rsid w:val="00F503B7"/>
    <w:rsid w:val="00F7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166"/>
  </w:style>
  <w:style w:type="paragraph" w:styleId="4">
    <w:name w:val="heading 4"/>
    <w:basedOn w:val="a"/>
    <w:link w:val="40"/>
    <w:uiPriority w:val="9"/>
    <w:qFormat/>
    <w:rsid w:val="002E19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E19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E194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E1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1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194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A4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A410C"/>
  </w:style>
  <w:style w:type="paragraph" w:styleId="a9">
    <w:name w:val="footer"/>
    <w:basedOn w:val="a"/>
    <w:link w:val="aa"/>
    <w:uiPriority w:val="99"/>
    <w:unhideWhenUsed/>
    <w:rsid w:val="000A4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41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68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2529</Words>
  <Characters>14417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 Н.И.</dc:creator>
  <cp:lastModifiedBy>Листопад Н.И.</cp:lastModifiedBy>
  <cp:revision>2</cp:revision>
  <dcterms:created xsi:type="dcterms:W3CDTF">2015-09-12T10:50:00Z</dcterms:created>
  <dcterms:modified xsi:type="dcterms:W3CDTF">2015-09-12T10:50:00Z</dcterms:modified>
</cp:coreProperties>
</file>